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884" w:rsidRPr="001D32FA" w:rsidRDefault="00AB0884" w:rsidP="00AB0884">
      <w:pPr>
        <w:jc w:val="left"/>
        <w:rPr>
          <w:b/>
          <w:i/>
          <w:sz w:val="24"/>
        </w:rPr>
      </w:pPr>
      <w:r>
        <w:rPr>
          <w:b/>
          <w:sz w:val="24"/>
        </w:rPr>
        <w:t xml:space="preserve">Supplemental Appendix to </w:t>
      </w:r>
      <w:r w:rsidRPr="001D32FA">
        <w:rPr>
          <w:b/>
          <w:sz w:val="24"/>
        </w:rPr>
        <w:t>Website Morphing 2.0: Switching Costs, Partial Exposure, Random Exit, and When to Morph</w:t>
      </w:r>
      <w:r>
        <w:rPr>
          <w:b/>
          <w:sz w:val="24"/>
        </w:rPr>
        <w:t xml:space="preserve"> by John R. Hauser, Gui Liberali, and Glen L. Urban.</w:t>
      </w:r>
    </w:p>
    <w:p w:rsidR="00AB0884" w:rsidRDefault="00AB0884" w:rsidP="00AB0884">
      <w:pPr>
        <w:jc w:val="left"/>
        <w:rPr>
          <w:b/>
          <w:sz w:val="24"/>
        </w:rPr>
      </w:pPr>
    </w:p>
    <w:p w:rsidR="00AB0884" w:rsidRPr="00EB6089" w:rsidRDefault="00AB0884" w:rsidP="00AB0884">
      <w:pPr>
        <w:jc w:val="left"/>
        <w:rPr>
          <w:b/>
          <w:sz w:val="24"/>
        </w:rPr>
      </w:pPr>
      <w:r>
        <w:rPr>
          <w:b/>
          <w:sz w:val="24"/>
        </w:rPr>
        <w:t>A3.3. Empirical Comparison of Outcomes in the Suruga Experiment</w:t>
      </w:r>
    </w:p>
    <w:p w:rsidR="00AB0884" w:rsidRDefault="00C47074" w:rsidP="00AB0884">
      <w:pPr>
        <w:jc w:val="left"/>
      </w:pPr>
      <w:r>
        <w:t>January 20</w:t>
      </w:r>
      <w:r w:rsidR="00AB0884">
        <w:t>, 2014</w:t>
      </w:r>
    </w:p>
    <w:p w:rsidR="00AB0884" w:rsidRDefault="00AB0884" w:rsidP="00AB0884">
      <w:pPr>
        <w:jc w:val="left"/>
      </w:pPr>
    </w:p>
    <w:p w:rsidR="00AB0884" w:rsidRDefault="00AB0884" w:rsidP="00AB0884">
      <w:pPr>
        <w:jc w:val="left"/>
        <w:rPr>
          <w:rFonts w:eastAsiaTheme="minorEastAsia"/>
        </w:rPr>
      </w:pPr>
      <w:r>
        <w:t>Although the WTM and HULB algorithms optimized morphs based on the binary outcome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δ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>
        <w:rPr>
          <w:rFonts w:eastAsiaTheme="minorEastAsia"/>
        </w:rPr>
        <w:t xml:space="preserve">) which observed whether or not the customer requested additional information, pre- and post-questionnaires collected managerially relevant information on consideration, preference, and purchase intensions. From the text: </w:t>
      </w:r>
      <w:r w:rsidRPr="00AB0884">
        <w:rPr>
          <w:rFonts w:eastAsiaTheme="minorEastAsia"/>
        </w:rPr>
        <w:t>Consideration was a binary consider-or-not measure, preference was a 100-point constant sum scale, and purchase likelihood was measured on an 11-point scale as in Juster (1966). All measures reflect that a customer will not prefer or purchase from Suruga Bank if they do not first consider Suruga Bank.</w:t>
      </w:r>
      <w:r>
        <w:rPr>
          <w:rFonts w:eastAsiaTheme="minorEastAsia"/>
        </w:rPr>
        <w:t xml:space="preserve"> </w:t>
      </w:r>
      <w:r w:rsidRPr="00AB0884">
        <w:rPr>
          <w:rFonts w:eastAsiaTheme="minorEastAsia"/>
        </w:rPr>
        <w:t>We also attempted to correct for pre-measures, but, because Suruga Bank was not known for card loans at the time of the application, only 70 respondents considered Suruga Bank in the pre-measures.</w:t>
      </w:r>
    </w:p>
    <w:p w:rsidR="00AB0884" w:rsidRDefault="00AB0884" w:rsidP="00AB0884">
      <w:pPr>
        <w:jc w:val="left"/>
        <w:rPr>
          <w:rFonts w:eastAsiaTheme="minorEastAsia"/>
        </w:rPr>
      </w:pPr>
    </w:p>
    <w:p w:rsidR="00AB0884" w:rsidRDefault="00AB0884" w:rsidP="00AB0884">
      <w:pPr>
        <w:jc w:val="left"/>
        <w:rPr>
          <w:rFonts w:eastAsiaTheme="minorEastAsia"/>
        </w:rPr>
      </w:pPr>
      <w:r>
        <w:rPr>
          <w:rFonts w:eastAsiaTheme="minorEastAsia"/>
        </w:rPr>
        <w:t>Unfortunately, the sample size in the Suruga experiment was small relative to sample sizes that are typical for website morphing. Perhaps for this reason, none of the comparisons are significant</w:t>
      </w:r>
      <w:r w:rsidR="00C47074">
        <w:rPr>
          <w:rFonts w:eastAsiaTheme="minorEastAsia"/>
        </w:rPr>
        <w:t xml:space="preserve">. </w:t>
      </w:r>
      <w:r>
        <w:rPr>
          <w:rFonts w:eastAsiaTheme="minorEastAsia"/>
        </w:rPr>
        <w:t>We present them here for completeness.</w:t>
      </w:r>
    </w:p>
    <w:p w:rsidR="00AB0884" w:rsidRDefault="00AB0884" w:rsidP="00AB0884">
      <w:pPr>
        <w:jc w:val="left"/>
        <w:rPr>
          <w:rFonts w:eastAsiaTheme="minorEastAsia"/>
        </w:rPr>
      </w:pPr>
    </w:p>
    <w:p w:rsidR="00AB0884" w:rsidRPr="00B223D0" w:rsidRDefault="00AB0884" w:rsidP="00AB0884">
      <w:pPr>
        <w:keepNext/>
        <w:widowControl w:val="0"/>
        <w:spacing w:after="240"/>
        <w:rPr>
          <w:rFonts w:ascii="Arial" w:eastAsiaTheme="minorEastAsia" w:hAnsi="Arial" w:cs="Arial"/>
          <w:b/>
          <w:szCs w:val="24"/>
        </w:rPr>
      </w:pPr>
      <w:r w:rsidRPr="00B223D0">
        <w:rPr>
          <w:rFonts w:ascii="Arial" w:eastAsiaTheme="minorEastAsia" w:hAnsi="Arial" w:cs="Arial"/>
          <w:b/>
          <w:szCs w:val="24"/>
        </w:rPr>
        <w:t>Results of the Suruga Bank Field Experiment</w:t>
      </w:r>
    </w:p>
    <w:tbl>
      <w:tblPr>
        <w:tblStyle w:val="TableGrid"/>
        <w:tblW w:w="0" w:type="auto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28"/>
        <w:gridCol w:w="1737"/>
        <w:gridCol w:w="1737"/>
        <w:gridCol w:w="1737"/>
        <w:gridCol w:w="1737"/>
      </w:tblGrid>
      <w:tr w:rsidR="00AB0884" w:rsidTr="00227B13">
        <w:tc>
          <w:tcPr>
            <w:tcW w:w="2628" w:type="dxa"/>
            <w:tcBorders>
              <w:top w:val="single" w:sz="12" w:space="0" w:color="auto"/>
              <w:bottom w:val="single" w:sz="4" w:space="0" w:color="auto"/>
            </w:tcBorders>
          </w:tcPr>
          <w:p w:rsidR="00AB0884" w:rsidRPr="00B03BE7" w:rsidRDefault="00AB0884" w:rsidP="00227B13">
            <w:pPr>
              <w:keepNext/>
              <w:widowControl w:val="0"/>
              <w:spacing w:before="120" w:line="360" w:lineRule="auto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737" w:type="dxa"/>
            <w:tcBorders>
              <w:top w:val="single" w:sz="12" w:space="0" w:color="auto"/>
              <w:bottom w:val="single" w:sz="4" w:space="0" w:color="auto"/>
            </w:tcBorders>
          </w:tcPr>
          <w:p w:rsidR="00AB0884" w:rsidRPr="00B03BE7" w:rsidRDefault="00AB0884" w:rsidP="00227B13">
            <w:pPr>
              <w:keepNext/>
              <w:widowControl w:val="0"/>
              <w:spacing w:before="120" w:line="276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 w:rsidRPr="00B03BE7">
              <w:rPr>
                <w:rFonts w:ascii="Arial" w:eastAsiaTheme="minorEastAsia" w:hAnsi="Arial" w:cs="Arial"/>
                <w:sz w:val="20"/>
                <w:szCs w:val="20"/>
              </w:rPr>
              <w:t xml:space="preserve">Morphing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 xml:space="preserve">   </w:t>
            </w:r>
            <w:r w:rsidRPr="00B03BE7">
              <w:rPr>
                <w:rFonts w:ascii="Arial" w:eastAsiaTheme="minorEastAsia" w:hAnsi="Arial" w:cs="Arial"/>
                <w:sz w:val="20"/>
                <w:szCs w:val="20"/>
              </w:rPr>
              <w:t>Website</w:t>
            </w:r>
          </w:p>
        </w:tc>
        <w:tc>
          <w:tcPr>
            <w:tcW w:w="1737" w:type="dxa"/>
            <w:tcBorders>
              <w:top w:val="single" w:sz="12" w:space="0" w:color="auto"/>
              <w:bottom w:val="single" w:sz="4" w:space="0" w:color="auto"/>
            </w:tcBorders>
          </w:tcPr>
          <w:p w:rsidR="00AB0884" w:rsidRPr="00B03BE7" w:rsidRDefault="00AB0884" w:rsidP="00227B13">
            <w:pPr>
              <w:keepNext/>
              <w:widowControl w:val="0"/>
              <w:spacing w:before="120" w:line="276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 w:rsidRPr="00B03BE7">
              <w:rPr>
                <w:rFonts w:ascii="Arial" w:eastAsiaTheme="minorEastAsia" w:hAnsi="Arial" w:cs="Arial"/>
                <w:sz w:val="20"/>
                <w:szCs w:val="20"/>
              </w:rPr>
              <w:t xml:space="preserve">Static </w:t>
            </w:r>
            <w:r>
              <w:rPr>
                <w:rFonts w:ascii="Arial" w:eastAsiaTheme="minorEastAsia" w:hAnsi="Arial" w:cs="Arial"/>
                <w:sz w:val="20"/>
                <w:szCs w:val="20"/>
              </w:rPr>
              <w:t xml:space="preserve">         </w:t>
            </w:r>
            <w:r w:rsidRPr="00B03BE7">
              <w:rPr>
                <w:rFonts w:ascii="Arial" w:eastAsiaTheme="minorEastAsia" w:hAnsi="Arial" w:cs="Arial"/>
                <w:sz w:val="20"/>
                <w:szCs w:val="20"/>
              </w:rPr>
              <w:t>Website</w:t>
            </w:r>
          </w:p>
        </w:tc>
        <w:tc>
          <w:tcPr>
            <w:tcW w:w="1737" w:type="dxa"/>
            <w:tcBorders>
              <w:top w:val="single" w:sz="12" w:space="0" w:color="auto"/>
              <w:bottom w:val="single" w:sz="4" w:space="0" w:color="auto"/>
            </w:tcBorders>
          </w:tcPr>
          <w:p w:rsidR="00AB0884" w:rsidRPr="00B03BE7" w:rsidRDefault="00AB0884" w:rsidP="00227B13">
            <w:pPr>
              <w:keepNext/>
              <w:widowControl w:val="0"/>
              <w:spacing w:before="120" w:line="276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 w:rsidRPr="00B03BE7">
              <w:rPr>
                <w:rFonts w:ascii="Arial" w:eastAsiaTheme="minorEastAsia" w:hAnsi="Arial" w:cs="Arial"/>
                <w:sz w:val="20"/>
                <w:szCs w:val="20"/>
              </w:rPr>
              <w:t>Morphing minus Static Website</w:t>
            </w:r>
          </w:p>
        </w:tc>
        <w:tc>
          <w:tcPr>
            <w:tcW w:w="1737" w:type="dxa"/>
            <w:tcBorders>
              <w:top w:val="single" w:sz="12" w:space="0" w:color="auto"/>
              <w:bottom w:val="single" w:sz="4" w:space="0" w:color="auto"/>
            </w:tcBorders>
          </w:tcPr>
          <w:p w:rsidR="00AB0884" w:rsidRPr="00BB6179" w:rsidRDefault="00D5032D" w:rsidP="00227B13">
            <w:pPr>
              <w:keepNext/>
              <w:widowControl w:val="0"/>
              <w:spacing w:before="120" w:line="276" w:lineRule="auto"/>
              <w:rPr>
                <w:rFonts w:ascii="Arial" w:eastAsiaTheme="minorEastAsia" w:hAnsi="Arial" w:cs="Arial"/>
                <w:sz w:val="20"/>
                <w:szCs w:val="20"/>
                <w:vertAlign w:val="superscript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Significance</w:t>
            </w:r>
          </w:p>
        </w:tc>
      </w:tr>
      <w:tr w:rsidR="00AB0884" w:rsidTr="00227B13">
        <w:tc>
          <w:tcPr>
            <w:tcW w:w="2628" w:type="dxa"/>
          </w:tcPr>
          <w:p w:rsidR="00AB0884" w:rsidRPr="00B03BE7" w:rsidRDefault="00AB0884" w:rsidP="00227B13">
            <w:pPr>
              <w:keepNext/>
              <w:widowControl w:val="0"/>
              <w:spacing w:before="120" w:line="360" w:lineRule="auto"/>
              <w:jc w:val="left"/>
              <w:rPr>
                <w:rFonts w:ascii="Arial" w:eastAsiaTheme="minorEastAsia" w:hAnsi="Arial" w:cs="Arial"/>
                <w:sz w:val="20"/>
                <w:szCs w:val="20"/>
              </w:rPr>
            </w:pPr>
            <w:r w:rsidRPr="00B03BE7">
              <w:rPr>
                <w:rFonts w:ascii="Arial" w:eastAsiaTheme="minorEastAsia" w:hAnsi="Arial" w:cs="Arial"/>
                <w:sz w:val="20"/>
                <w:szCs w:val="20"/>
              </w:rPr>
              <w:t>Consideration</w:t>
            </w:r>
          </w:p>
        </w:tc>
        <w:tc>
          <w:tcPr>
            <w:tcW w:w="1737" w:type="dxa"/>
          </w:tcPr>
          <w:p w:rsidR="00AB0884" w:rsidRPr="00B03BE7" w:rsidRDefault="00D5032D" w:rsidP="00227B13">
            <w:pPr>
              <w:keepNext/>
              <w:widowControl w:val="0"/>
              <w:tabs>
                <w:tab w:val="decimal" w:pos="342"/>
              </w:tabs>
              <w:spacing w:before="120" w:line="360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28.7</w:t>
            </w:r>
            <w:r w:rsidR="00AB0884" w:rsidRPr="00B03BE7">
              <w:rPr>
                <w:rFonts w:ascii="Arial" w:eastAsiaTheme="minorEastAsia" w:hAnsi="Arial" w:cs="Arial"/>
                <w:sz w:val="20"/>
                <w:szCs w:val="20"/>
              </w:rPr>
              <w:t>%</w:t>
            </w:r>
          </w:p>
        </w:tc>
        <w:tc>
          <w:tcPr>
            <w:tcW w:w="1737" w:type="dxa"/>
          </w:tcPr>
          <w:p w:rsidR="00AB0884" w:rsidRPr="00B03BE7" w:rsidRDefault="00D5032D" w:rsidP="00227B13">
            <w:pPr>
              <w:keepNext/>
              <w:widowControl w:val="0"/>
              <w:tabs>
                <w:tab w:val="decimal" w:pos="315"/>
              </w:tabs>
              <w:spacing w:before="120" w:line="360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30.5</w:t>
            </w:r>
            <w:r w:rsidR="00AB0884" w:rsidRPr="00B03BE7">
              <w:rPr>
                <w:rFonts w:ascii="Arial" w:eastAsiaTheme="minorEastAsia" w:hAnsi="Arial" w:cs="Arial"/>
                <w:sz w:val="20"/>
                <w:szCs w:val="20"/>
              </w:rPr>
              <w:t>%</w:t>
            </w:r>
          </w:p>
        </w:tc>
        <w:tc>
          <w:tcPr>
            <w:tcW w:w="1737" w:type="dxa"/>
          </w:tcPr>
          <w:p w:rsidR="00AB0884" w:rsidRPr="003547B5" w:rsidRDefault="00D5032D" w:rsidP="00227B13">
            <w:pPr>
              <w:keepNext/>
              <w:widowControl w:val="0"/>
              <w:tabs>
                <w:tab w:val="decimal" w:pos="288"/>
              </w:tabs>
              <w:spacing w:before="120" w:line="360" w:lineRule="auto"/>
              <w:rPr>
                <w:rFonts w:ascii="Arial" w:eastAsiaTheme="minorEastAsia" w:hAnsi="Arial" w:cs="Arial"/>
                <w:sz w:val="20"/>
                <w:szCs w:val="20"/>
                <w:vertAlign w:val="superscript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-1</w:t>
            </w:r>
            <w:r w:rsidR="00AB0884" w:rsidRPr="00B03BE7">
              <w:rPr>
                <w:rFonts w:ascii="Arial" w:eastAsiaTheme="minorEastAsia" w:hAnsi="Arial" w:cs="Arial"/>
                <w:sz w:val="20"/>
                <w:szCs w:val="20"/>
              </w:rPr>
              <w:t>.8%</w:t>
            </w:r>
          </w:p>
        </w:tc>
        <w:tc>
          <w:tcPr>
            <w:tcW w:w="1737" w:type="dxa"/>
          </w:tcPr>
          <w:p w:rsidR="00AB0884" w:rsidRPr="00B03BE7" w:rsidRDefault="00D5032D" w:rsidP="00227B13">
            <w:pPr>
              <w:keepNext/>
              <w:widowControl w:val="0"/>
              <w:tabs>
                <w:tab w:val="decimal" w:pos="171"/>
              </w:tabs>
              <w:spacing w:before="120" w:line="360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0.530</w:t>
            </w:r>
          </w:p>
        </w:tc>
      </w:tr>
      <w:tr w:rsidR="00D5032D" w:rsidTr="00227B13">
        <w:tc>
          <w:tcPr>
            <w:tcW w:w="2628" w:type="dxa"/>
          </w:tcPr>
          <w:p w:rsidR="00D5032D" w:rsidRPr="00B03BE7" w:rsidRDefault="00D5032D" w:rsidP="00D5032D">
            <w:pPr>
              <w:keepNext/>
              <w:widowControl w:val="0"/>
              <w:spacing w:before="120" w:line="360" w:lineRule="auto"/>
              <w:ind w:left="720" w:hanging="720"/>
              <w:jc w:val="left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Preference given consideration</w:t>
            </w:r>
          </w:p>
        </w:tc>
        <w:tc>
          <w:tcPr>
            <w:tcW w:w="1737" w:type="dxa"/>
          </w:tcPr>
          <w:p w:rsidR="00D5032D" w:rsidRDefault="00D5032D" w:rsidP="00227B13">
            <w:pPr>
              <w:keepNext/>
              <w:widowControl w:val="0"/>
              <w:tabs>
                <w:tab w:val="decimal" w:pos="342"/>
              </w:tabs>
              <w:spacing w:before="120" w:line="360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64.2%</w:t>
            </w:r>
          </w:p>
        </w:tc>
        <w:tc>
          <w:tcPr>
            <w:tcW w:w="1737" w:type="dxa"/>
          </w:tcPr>
          <w:p w:rsidR="00D5032D" w:rsidRDefault="00D5032D" w:rsidP="00227B13">
            <w:pPr>
              <w:keepNext/>
              <w:widowControl w:val="0"/>
              <w:tabs>
                <w:tab w:val="decimal" w:pos="315"/>
              </w:tabs>
              <w:spacing w:before="120" w:line="360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61.8%</w:t>
            </w:r>
          </w:p>
        </w:tc>
        <w:tc>
          <w:tcPr>
            <w:tcW w:w="1737" w:type="dxa"/>
          </w:tcPr>
          <w:p w:rsidR="00D5032D" w:rsidRPr="00B03BE7" w:rsidRDefault="00D5032D" w:rsidP="00227B13">
            <w:pPr>
              <w:keepNext/>
              <w:widowControl w:val="0"/>
              <w:tabs>
                <w:tab w:val="decimal" w:pos="288"/>
              </w:tabs>
              <w:spacing w:before="120" w:line="360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2.3%</w:t>
            </w:r>
          </w:p>
        </w:tc>
        <w:tc>
          <w:tcPr>
            <w:tcW w:w="1737" w:type="dxa"/>
          </w:tcPr>
          <w:p w:rsidR="00D5032D" w:rsidRPr="00B03BE7" w:rsidRDefault="0047318D" w:rsidP="00227B13">
            <w:pPr>
              <w:keepNext/>
              <w:widowControl w:val="0"/>
              <w:tabs>
                <w:tab w:val="decimal" w:pos="171"/>
              </w:tabs>
              <w:spacing w:before="120" w:line="360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0.563</w:t>
            </w:r>
          </w:p>
        </w:tc>
      </w:tr>
      <w:tr w:rsidR="00AB0884" w:rsidTr="00227B13">
        <w:tc>
          <w:tcPr>
            <w:tcW w:w="2628" w:type="dxa"/>
          </w:tcPr>
          <w:p w:rsidR="00AB0884" w:rsidRPr="00B03BE7" w:rsidRDefault="00AB0884" w:rsidP="00227B13">
            <w:pPr>
              <w:keepNext/>
              <w:widowControl w:val="0"/>
              <w:spacing w:before="120" w:line="360" w:lineRule="auto"/>
              <w:jc w:val="left"/>
              <w:rPr>
                <w:rFonts w:ascii="Arial" w:eastAsiaTheme="minorEastAsia" w:hAnsi="Arial" w:cs="Arial"/>
                <w:sz w:val="20"/>
                <w:szCs w:val="20"/>
              </w:rPr>
            </w:pPr>
            <w:r w:rsidRPr="00B03BE7">
              <w:rPr>
                <w:rFonts w:ascii="Arial" w:eastAsiaTheme="minorEastAsia" w:hAnsi="Arial" w:cs="Arial"/>
                <w:sz w:val="20"/>
                <w:szCs w:val="20"/>
              </w:rPr>
              <w:t>Preference</w:t>
            </w:r>
          </w:p>
        </w:tc>
        <w:tc>
          <w:tcPr>
            <w:tcW w:w="1737" w:type="dxa"/>
          </w:tcPr>
          <w:p w:rsidR="00AB0884" w:rsidRPr="00B03BE7" w:rsidRDefault="00D5032D" w:rsidP="00227B13">
            <w:pPr>
              <w:keepNext/>
              <w:widowControl w:val="0"/>
              <w:tabs>
                <w:tab w:val="decimal" w:pos="342"/>
              </w:tabs>
              <w:spacing w:before="120" w:line="360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18.4</w:t>
            </w:r>
            <w:r w:rsidR="00AB0884" w:rsidRPr="00B03BE7">
              <w:rPr>
                <w:rFonts w:ascii="Arial" w:eastAsiaTheme="minorEastAsia" w:hAnsi="Arial" w:cs="Arial"/>
                <w:sz w:val="20"/>
                <w:szCs w:val="20"/>
              </w:rPr>
              <w:t>%</w:t>
            </w:r>
          </w:p>
        </w:tc>
        <w:tc>
          <w:tcPr>
            <w:tcW w:w="1737" w:type="dxa"/>
          </w:tcPr>
          <w:p w:rsidR="00AB0884" w:rsidRPr="00B03BE7" w:rsidRDefault="00D5032D" w:rsidP="00227B13">
            <w:pPr>
              <w:keepNext/>
              <w:widowControl w:val="0"/>
              <w:tabs>
                <w:tab w:val="decimal" w:pos="315"/>
              </w:tabs>
              <w:spacing w:before="120" w:line="360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18.9</w:t>
            </w:r>
            <w:r w:rsidR="00AB0884" w:rsidRPr="00B03BE7">
              <w:rPr>
                <w:rFonts w:ascii="Arial" w:eastAsiaTheme="minorEastAsia" w:hAnsi="Arial" w:cs="Arial"/>
                <w:sz w:val="20"/>
                <w:szCs w:val="20"/>
              </w:rPr>
              <w:t>%</w:t>
            </w:r>
          </w:p>
        </w:tc>
        <w:tc>
          <w:tcPr>
            <w:tcW w:w="1737" w:type="dxa"/>
          </w:tcPr>
          <w:p w:rsidR="00AB0884" w:rsidRPr="00B03BE7" w:rsidRDefault="00D5032D" w:rsidP="00227B13">
            <w:pPr>
              <w:keepNext/>
              <w:widowControl w:val="0"/>
              <w:tabs>
                <w:tab w:val="decimal" w:pos="288"/>
              </w:tabs>
              <w:spacing w:before="120" w:line="360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-0.5</w:t>
            </w:r>
            <w:r w:rsidR="00AB0884" w:rsidRPr="00B03BE7">
              <w:rPr>
                <w:rFonts w:ascii="Arial" w:eastAsiaTheme="minorEastAsia" w:hAnsi="Arial" w:cs="Arial"/>
                <w:sz w:val="20"/>
                <w:szCs w:val="20"/>
              </w:rPr>
              <w:t>%</w:t>
            </w:r>
          </w:p>
        </w:tc>
        <w:tc>
          <w:tcPr>
            <w:tcW w:w="1737" w:type="dxa"/>
          </w:tcPr>
          <w:p w:rsidR="00AB0884" w:rsidRPr="00B03BE7" w:rsidRDefault="00D5032D" w:rsidP="00227B13">
            <w:pPr>
              <w:keepNext/>
              <w:widowControl w:val="0"/>
              <w:tabs>
                <w:tab w:val="decimal" w:pos="171"/>
              </w:tabs>
              <w:spacing w:before="120" w:line="360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0.839</w:t>
            </w:r>
            <w:bookmarkStart w:id="0" w:name="_GoBack"/>
            <w:bookmarkEnd w:id="0"/>
          </w:p>
        </w:tc>
      </w:tr>
      <w:tr w:rsidR="00D5032D" w:rsidTr="00227B13">
        <w:tc>
          <w:tcPr>
            <w:tcW w:w="2628" w:type="dxa"/>
          </w:tcPr>
          <w:p w:rsidR="00D5032D" w:rsidRPr="00B03BE7" w:rsidRDefault="00D5032D" w:rsidP="00D5032D">
            <w:pPr>
              <w:keepNext/>
              <w:widowControl w:val="0"/>
              <w:spacing w:before="120" w:line="360" w:lineRule="auto"/>
              <w:ind w:left="720" w:hanging="720"/>
              <w:jc w:val="left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Purchase Likelihood given consideration</w:t>
            </w:r>
          </w:p>
        </w:tc>
        <w:tc>
          <w:tcPr>
            <w:tcW w:w="1737" w:type="dxa"/>
          </w:tcPr>
          <w:p w:rsidR="00D5032D" w:rsidRDefault="00D5032D" w:rsidP="00227B13">
            <w:pPr>
              <w:keepNext/>
              <w:widowControl w:val="0"/>
              <w:tabs>
                <w:tab w:val="decimal" w:pos="342"/>
              </w:tabs>
              <w:spacing w:before="120" w:line="360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3.53</w:t>
            </w:r>
          </w:p>
        </w:tc>
        <w:tc>
          <w:tcPr>
            <w:tcW w:w="1737" w:type="dxa"/>
          </w:tcPr>
          <w:p w:rsidR="00D5032D" w:rsidRDefault="00D5032D" w:rsidP="00227B13">
            <w:pPr>
              <w:keepNext/>
              <w:widowControl w:val="0"/>
              <w:tabs>
                <w:tab w:val="decimal" w:pos="315"/>
              </w:tabs>
              <w:spacing w:before="120" w:line="360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3.25</w:t>
            </w:r>
          </w:p>
        </w:tc>
        <w:tc>
          <w:tcPr>
            <w:tcW w:w="1737" w:type="dxa"/>
          </w:tcPr>
          <w:p w:rsidR="00D5032D" w:rsidRPr="00B03BE7" w:rsidRDefault="00D5032D" w:rsidP="00227B13">
            <w:pPr>
              <w:keepNext/>
              <w:widowControl w:val="0"/>
              <w:tabs>
                <w:tab w:val="decimal" w:pos="288"/>
              </w:tabs>
              <w:spacing w:before="120" w:line="360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0.28</w:t>
            </w:r>
          </w:p>
        </w:tc>
        <w:tc>
          <w:tcPr>
            <w:tcW w:w="1737" w:type="dxa"/>
          </w:tcPr>
          <w:p w:rsidR="00D5032D" w:rsidRPr="00B03BE7" w:rsidRDefault="0047318D" w:rsidP="00227B13">
            <w:pPr>
              <w:keepNext/>
              <w:widowControl w:val="0"/>
              <w:tabs>
                <w:tab w:val="decimal" w:pos="171"/>
              </w:tabs>
              <w:spacing w:before="120" w:line="360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0.281</w:t>
            </w:r>
          </w:p>
        </w:tc>
      </w:tr>
      <w:tr w:rsidR="00AB0884" w:rsidTr="00227B13">
        <w:tc>
          <w:tcPr>
            <w:tcW w:w="2628" w:type="dxa"/>
          </w:tcPr>
          <w:p w:rsidR="00AB0884" w:rsidRPr="00B03BE7" w:rsidRDefault="00AB0884" w:rsidP="00227B13">
            <w:pPr>
              <w:keepNext/>
              <w:widowControl w:val="0"/>
              <w:spacing w:before="120" w:line="360" w:lineRule="auto"/>
              <w:jc w:val="left"/>
              <w:rPr>
                <w:rFonts w:ascii="Arial" w:eastAsiaTheme="minorEastAsia" w:hAnsi="Arial" w:cs="Arial"/>
                <w:sz w:val="20"/>
                <w:szCs w:val="20"/>
              </w:rPr>
            </w:pPr>
            <w:r w:rsidRPr="00B03BE7">
              <w:rPr>
                <w:rFonts w:ascii="Arial" w:eastAsiaTheme="minorEastAsia" w:hAnsi="Arial" w:cs="Arial"/>
                <w:sz w:val="20"/>
                <w:szCs w:val="20"/>
              </w:rPr>
              <w:t>Purchase Likelihood</w:t>
            </w:r>
          </w:p>
        </w:tc>
        <w:tc>
          <w:tcPr>
            <w:tcW w:w="1737" w:type="dxa"/>
          </w:tcPr>
          <w:p w:rsidR="00AB0884" w:rsidRPr="00B03BE7" w:rsidRDefault="00D5032D" w:rsidP="00227B13">
            <w:pPr>
              <w:keepNext/>
              <w:widowControl w:val="0"/>
              <w:tabs>
                <w:tab w:val="decimal" w:pos="342"/>
              </w:tabs>
              <w:spacing w:before="120" w:line="360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1.01</w:t>
            </w:r>
          </w:p>
        </w:tc>
        <w:tc>
          <w:tcPr>
            <w:tcW w:w="1737" w:type="dxa"/>
          </w:tcPr>
          <w:p w:rsidR="00AB0884" w:rsidRPr="00B03BE7" w:rsidRDefault="00D5032D" w:rsidP="00227B13">
            <w:pPr>
              <w:keepNext/>
              <w:widowControl w:val="0"/>
              <w:tabs>
                <w:tab w:val="decimal" w:pos="315"/>
              </w:tabs>
              <w:spacing w:before="120" w:line="360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0.99</w:t>
            </w:r>
          </w:p>
        </w:tc>
        <w:tc>
          <w:tcPr>
            <w:tcW w:w="1737" w:type="dxa"/>
          </w:tcPr>
          <w:p w:rsidR="00AB0884" w:rsidRPr="00B03BE7" w:rsidRDefault="00D5032D" w:rsidP="00227B13">
            <w:pPr>
              <w:keepNext/>
              <w:widowControl w:val="0"/>
              <w:tabs>
                <w:tab w:val="decimal" w:pos="288"/>
              </w:tabs>
              <w:spacing w:before="120" w:line="360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0.02</w:t>
            </w:r>
            <w:r w:rsidR="00AB0884">
              <w:rPr>
                <w:rFonts w:ascii="Arial" w:eastAsiaTheme="minorEastAsia" w:hAnsi="Arial" w:cs="Arial"/>
                <w:sz w:val="20"/>
                <w:szCs w:val="20"/>
                <w:vertAlign w:val="superscript"/>
              </w:rPr>
              <w:t xml:space="preserve"> a</w:t>
            </w:r>
          </w:p>
        </w:tc>
        <w:tc>
          <w:tcPr>
            <w:tcW w:w="1737" w:type="dxa"/>
          </w:tcPr>
          <w:p w:rsidR="00AB0884" w:rsidRPr="00B03BE7" w:rsidRDefault="00D5032D" w:rsidP="00227B13">
            <w:pPr>
              <w:keepNext/>
              <w:widowControl w:val="0"/>
              <w:tabs>
                <w:tab w:val="decimal" w:pos="171"/>
              </w:tabs>
              <w:spacing w:before="120" w:line="360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0.862</w:t>
            </w:r>
          </w:p>
        </w:tc>
      </w:tr>
      <w:tr w:rsidR="00AB0884" w:rsidTr="00227B13">
        <w:tc>
          <w:tcPr>
            <w:tcW w:w="2628" w:type="dxa"/>
          </w:tcPr>
          <w:p w:rsidR="00AB0884" w:rsidRPr="00B03BE7" w:rsidRDefault="00AB0884" w:rsidP="00227B13">
            <w:pPr>
              <w:keepNext/>
              <w:widowControl w:val="0"/>
              <w:spacing w:before="120" w:line="360" w:lineRule="auto"/>
              <w:jc w:val="left"/>
              <w:rPr>
                <w:rFonts w:ascii="Arial" w:eastAsiaTheme="minorEastAsia" w:hAnsi="Arial" w:cs="Arial"/>
                <w:sz w:val="20"/>
                <w:szCs w:val="20"/>
              </w:rPr>
            </w:pPr>
            <w:r w:rsidRPr="00B03BE7">
              <w:rPr>
                <w:rFonts w:ascii="Arial" w:eastAsiaTheme="minorEastAsia" w:hAnsi="Arial" w:cs="Arial"/>
                <w:sz w:val="20"/>
                <w:szCs w:val="20"/>
              </w:rPr>
              <w:t>Sample Size</w:t>
            </w:r>
          </w:p>
        </w:tc>
        <w:tc>
          <w:tcPr>
            <w:tcW w:w="1737" w:type="dxa"/>
          </w:tcPr>
          <w:p w:rsidR="00AB0884" w:rsidRPr="00B03BE7" w:rsidRDefault="00D5032D" w:rsidP="00227B13">
            <w:pPr>
              <w:keepNext/>
              <w:widowControl w:val="0"/>
              <w:tabs>
                <w:tab w:val="decimal" w:pos="522"/>
              </w:tabs>
              <w:spacing w:before="120" w:line="360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1,061</w:t>
            </w:r>
          </w:p>
        </w:tc>
        <w:tc>
          <w:tcPr>
            <w:tcW w:w="1737" w:type="dxa"/>
          </w:tcPr>
          <w:p w:rsidR="00AB0884" w:rsidRPr="00B03BE7" w:rsidRDefault="00D5032D" w:rsidP="00227B13">
            <w:pPr>
              <w:keepNext/>
              <w:widowControl w:val="0"/>
              <w:spacing w:before="120" w:line="360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sz w:val="20"/>
                <w:szCs w:val="20"/>
              </w:rPr>
              <w:t>334</w:t>
            </w:r>
          </w:p>
        </w:tc>
        <w:tc>
          <w:tcPr>
            <w:tcW w:w="1737" w:type="dxa"/>
          </w:tcPr>
          <w:p w:rsidR="00AB0884" w:rsidRPr="00B03BE7" w:rsidRDefault="00AB0884" w:rsidP="00227B13">
            <w:pPr>
              <w:keepNext/>
              <w:widowControl w:val="0"/>
              <w:spacing w:before="120" w:line="360" w:lineRule="auto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737" w:type="dxa"/>
          </w:tcPr>
          <w:p w:rsidR="00AB0884" w:rsidRPr="00B03BE7" w:rsidRDefault="00AB0884" w:rsidP="00227B13">
            <w:pPr>
              <w:keepNext/>
              <w:widowControl w:val="0"/>
              <w:spacing w:before="120" w:line="360" w:lineRule="auto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</w:tr>
    </w:tbl>
    <w:p w:rsidR="00AB0884" w:rsidRDefault="00AB0884" w:rsidP="00AB0884">
      <w:pPr>
        <w:jc w:val="left"/>
      </w:pPr>
    </w:p>
    <w:p w:rsidR="0077543D" w:rsidRDefault="0077543D" w:rsidP="00EF01E1"/>
    <w:sectPr w:rsidR="007754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884"/>
    <w:rsid w:val="0047318D"/>
    <w:rsid w:val="0077543D"/>
    <w:rsid w:val="00AB0884"/>
    <w:rsid w:val="00C47074"/>
    <w:rsid w:val="00D5032D"/>
    <w:rsid w:val="00EF0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0884"/>
    <w:pPr>
      <w:spacing w:after="0" w:line="240" w:lineRule="auto"/>
      <w:jc w:val="center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B088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08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88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B0884"/>
    <w:pPr>
      <w:spacing w:after="0" w:line="240" w:lineRule="auto"/>
      <w:jc w:val="center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0884"/>
    <w:pPr>
      <w:spacing w:after="0" w:line="240" w:lineRule="auto"/>
      <w:jc w:val="center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B088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08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88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B0884"/>
    <w:pPr>
      <w:spacing w:after="0" w:line="240" w:lineRule="auto"/>
      <w:jc w:val="center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MIT Sloan School of Management</Company>
  <LinksUpToDate>false</LinksUpToDate>
  <CharactersWithSpaces>1690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Hauser</dc:creator>
  <cp:lastModifiedBy>John Hauser</cp:lastModifiedBy>
  <cp:revision>3</cp:revision>
  <dcterms:created xsi:type="dcterms:W3CDTF">2014-01-11T21:36:00Z</dcterms:created>
  <dcterms:modified xsi:type="dcterms:W3CDTF">2014-01-21T14:56:00Z</dcterms:modified>
</cp:coreProperties>
</file>